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23" w:rsidRPr="001535CE" w:rsidRDefault="004B5D23" w:rsidP="004B5D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5CE">
        <w:rPr>
          <w:rFonts w:ascii="Times New Roman" w:hAnsi="Times New Roman" w:cs="Times New Roman"/>
          <w:b/>
          <w:sz w:val="36"/>
          <w:szCs w:val="36"/>
        </w:rPr>
        <w:t>Перечень  и  формы документов для участия в конкурсе</w:t>
      </w:r>
      <w:bookmarkStart w:id="0" w:name="_GoBack"/>
      <w:bookmarkEnd w:id="0"/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1) личное заявление (бланк заявления размещен на официальном сайте Администрации);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2)  заполненную и подписанную анкету по </w:t>
      </w:r>
      <w:hyperlink r:id="rId4" w:history="1">
        <w:r w:rsidRPr="00AE4D4A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AE4D4A">
        <w:rPr>
          <w:rFonts w:ascii="Times New Roman" w:eastAsia="Calibri" w:hAnsi="Times New Roman" w:cs="Times New Roman"/>
          <w:sz w:val="24"/>
          <w:szCs w:val="24"/>
        </w:rPr>
        <w:t>, утвержденной распоряжением Правительства Российской Федерации от 26.05.2005 № 667-р (в редакции от 05.03.2018), с фотографией;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3) копию паспорта или заменяющего его документа (оригинал документа предъявляется лично по прибытии на конкурс);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4)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</w:t>
      </w:r>
      <w:r>
        <w:rPr>
          <w:rFonts w:ascii="Times New Roman" w:eastAsia="Calibri" w:hAnsi="Times New Roman" w:cs="Times New Roman"/>
          <w:sz w:val="24"/>
          <w:szCs w:val="24"/>
        </w:rPr>
        <w:t>жебную) деятельность гражданина. Копия трудовой книжки должна быть заверена по месту работ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службы), либо по прибытии на конкурс предъявляется лично.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6) документы об отсутствии у гражданина заболевания, препятствующего поступлению на гражданскую службу или ее прохождению </w:t>
      </w:r>
      <w:r w:rsidRPr="00AE4D4A">
        <w:rPr>
          <w:rFonts w:ascii="Times New Roman" w:eastAsia="Calibri" w:hAnsi="Times New Roman" w:cs="Times New Roman"/>
          <w:b/>
          <w:sz w:val="24"/>
          <w:szCs w:val="24"/>
        </w:rPr>
        <w:t>из государственных учреждений здравоохранения</w:t>
      </w: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 (бланк заключения размещен на официальном сайте Администрации):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- заключение психиатра по учетной </w:t>
      </w:r>
      <w:hyperlink r:id="rId5" w:history="1">
        <w:r w:rsidRPr="00AE4D4A">
          <w:rPr>
            <w:rFonts w:ascii="Times New Roman" w:eastAsia="Calibri" w:hAnsi="Times New Roman" w:cs="Times New Roman"/>
            <w:sz w:val="24"/>
            <w:szCs w:val="24"/>
          </w:rPr>
          <w:t>форме № 001-ГС/у</w:t>
        </w:r>
      </w:hyperlink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- заключение психиатра-нарколога по учетной </w:t>
      </w:r>
      <w:hyperlink r:id="rId6" w:history="1">
        <w:r w:rsidRPr="00AE4D4A">
          <w:rPr>
            <w:rFonts w:ascii="Times New Roman" w:eastAsia="Calibri" w:hAnsi="Times New Roman" w:cs="Times New Roman"/>
            <w:sz w:val="24"/>
            <w:szCs w:val="24"/>
          </w:rPr>
          <w:t>форме № 001-ГС/у</w:t>
        </w:r>
      </w:hyperlink>
      <w:r w:rsidRPr="00AE4D4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- заключение об отсутствии противопоказаний по учетной </w:t>
      </w:r>
      <w:hyperlink r:id="rId7" w:history="1">
        <w:r w:rsidRPr="00AE4D4A">
          <w:rPr>
            <w:rFonts w:ascii="Times New Roman" w:eastAsia="Calibri" w:hAnsi="Times New Roman" w:cs="Times New Roman"/>
            <w:sz w:val="24"/>
            <w:szCs w:val="24"/>
          </w:rPr>
          <w:t>форме № 001-ГС/у</w:t>
        </w:r>
      </w:hyperlink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4D4A">
        <w:rPr>
          <w:rFonts w:ascii="Times New Roman" w:eastAsia="Calibri" w:hAnsi="Times New Roman" w:cs="Times New Roman"/>
          <w:sz w:val="24"/>
          <w:szCs w:val="24"/>
        </w:rPr>
        <w:t>7)) страховое свидетельство государственного пенсионного страхования (СНИЛС);</w:t>
      </w:r>
      <w:proofErr w:type="gramEnd"/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8) свидетельство о постановке на учет в налоговом органе (ИНН);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9) согласие на обработку персональных данных;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10) копию военного билета (для военнообязанных);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11) копию свидетельства о государственной регистрации актов гражданского состояния;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12) копию свидетельства о рождении несовершеннолетних детей;</w:t>
      </w:r>
    </w:p>
    <w:p w:rsidR="004B5D23" w:rsidRPr="00AE4D4A" w:rsidRDefault="004B5D23" w:rsidP="004B5D23">
      <w:pPr>
        <w:autoSpaceDE w:val="0"/>
        <w:autoSpaceDN w:val="0"/>
        <w:spacing w:after="0" w:line="240" w:lineRule="auto"/>
        <w:ind w:left="176" w:right="175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4A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 w:rsidRPr="00AE4D4A">
        <w:rPr>
          <w:rFonts w:ascii="Times New Roman" w:eastAsia="Times New Roman" w:hAnsi="Times New Roman" w:cs="Times New Roman"/>
          <w:bCs/>
          <w:sz w:val="24"/>
          <w:szCs w:val="24"/>
        </w:rPr>
        <w:t>СПРАВКА о доходах, расходах, об имуществе и обязательствах имущественного характера (</w:t>
      </w:r>
      <w:r w:rsidRPr="00AE4D4A">
        <w:rPr>
          <w:rFonts w:ascii="Times New Roman" w:eastAsia="Times New Roman" w:hAnsi="Times New Roman" w:cs="Times New Roman"/>
          <w:b/>
          <w:sz w:val="24"/>
          <w:szCs w:val="24"/>
        </w:rPr>
        <w:t>отдельно</w:t>
      </w:r>
      <w:r w:rsidRPr="00AE4D4A">
        <w:rPr>
          <w:rFonts w:ascii="Times New Roman" w:eastAsia="Times New Roman" w:hAnsi="Times New Roman" w:cs="Times New Roman"/>
          <w:sz w:val="24"/>
          <w:szCs w:val="24"/>
        </w:rPr>
        <w:t xml:space="preserve"> на себя, на супругу (супруга) и на каждого несовершеннолетнего ребенка). </w:t>
      </w:r>
    </w:p>
    <w:p w:rsidR="004B5D23" w:rsidRPr="00AE4D4A" w:rsidRDefault="004B5D23" w:rsidP="004B5D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4D4A">
        <w:rPr>
          <w:rFonts w:ascii="Times New Roman" w:eastAsia="Calibri" w:hAnsi="Times New Roman" w:cs="Times New Roman"/>
          <w:sz w:val="24"/>
          <w:szCs w:val="24"/>
        </w:rPr>
        <w:t>(СПРАВКА заполняется с использованием специального программного обеспечения «Справки БК», распечатывается на одной стороне листа.</w:t>
      </w:r>
      <w:proofErr w:type="gramEnd"/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E4D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заполнении необходимо руководствоваться Методическими рекомендациями </w:t>
      </w: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вопросам представления сведений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E4D4A">
        <w:rPr>
          <w:rFonts w:ascii="Times New Roman" w:eastAsia="Calibri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и заполнения соответствующей формы справки</w:t>
      </w:r>
      <w:r w:rsidRPr="00AE4D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4D4A">
        <w:rPr>
          <w:rFonts w:ascii="Times New Roman" w:eastAsia="Calibri" w:hAnsi="Times New Roman" w:cs="Times New Roman"/>
          <w:sz w:val="24"/>
          <w:szCs w:val="24"/>
        </w:rPr>
        <w:t>в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 году (за отчетный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 год).  </w:t>
      </w:r>
      <w:proofErr w:type="gramStart"/>
      <w:r w:rsidRPr="00AE4D4A">
        <w:rPr>
          <w:rFonts w:ascii="Times New Roman" w:eastAsia="Calibri" w:hAnsi="Times New Roman" w:cs="Times New Roman"/>
          <w:sz w:val="24"/>
          <w:szCs w:val="24"/>
        </w:rPr>
        <w:t>На официальном сайте Администрации в  разделе «Противодействие корруп</w:t>
      </w:r>
      <w:r>
        <w:rPr>
          <w:rFonts w:ascii="Times New Roman" w:eastAsia="Calibri" w:hAnsi="Times New Roman" w:cs="Times New Roman"/>
          <w:sz w:val="24"/>
          <w:szCs w:val="24"/>
        </w:rPr>
        <w:t>ции» СПО «Справки БК» размещено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E4D4A">
        <w:rPr>
          <w:rFonts w:ascii="Times New Roman" w:eastAsia="Calibri" w:hAnsi="Times New Roman" w:cs="Times New Roman"/>
          <w:sz w:val="24"/>
          <w:szCs w:val="24"/>
        </w:rPr>
        <w:t>в подразделе «Бланки и формы», методические рекомендации – в подразделе «Методические материалы»).</w:t>
      </w:r>
      <w:proofErr w:type="gramEnd"/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14) Три справки из налоговой инспекции по месту регистрации: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- о том, что гражданин не является индивидуальным предпринимателем;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- о том, что гражданин не является учредителем (участником), руководителем юридического лица;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- об отсутствии сведений в реестре дисквалифицированных лиц.</w:t>
      </w:r>
    </w:p>
    <w:p w:rsidR="004B5D23" w:rsidRPr="00AE4D4A" w:rsidRDefault="004B5D23" w:rsidP="004B5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4A">
        <w:rPr>
          <w:rFonts w:ascii="Times New Roman" w:eastAsia="Calibri" w:hAnsi="Times New Roman" w:cs="Times New Roman"/>
          <w:sz w:val="24"/>
          <w:szCs w:val="24"/>
        </w:rPr>
        <w:t>15)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4B5D23" w:rsidRPr="00AE4D4A" w:rsidRDefault="004B5D23" w:rsidP="004B5D23">
      <w:pPr>
        <w:spacing w:after="0" w:line="240" w:lineRule="auto"/>
        <w:ind w:left="176" w:firstLine="3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AE4D4A">
        <w:rPr>
          <w:rFonts w:ascii="Times New Roman" w:eastAsia="Calibri" w:hAnsi="Times New Roman" w:cs="Times New Roman"/>
          <w:sz w:val="24"/>
          <w:szCs w:val="24"/>
        </w:rPr>
        <w:t xml:space="preserve">16) </w:t>
      </w:r>
      <w:r w:rsidRPr="00AE4D4A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AE4D4A">
        <w:rPr>
          <w:rFonts w:ascii="Times New Roman" w:eastAsia="Calibri" w:hAnsi="Times New Roman" w:cs="Times New Roman"/>
          <w:bCs/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</w:r>
      <w:r w:rsidRPr="00AE4D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форме, утвержденной </w:t>
      </w:r>
      <w:r w:rsidRPr="00AE4D4A"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распоряжением Правительства Российской Федерации  от 28.12.2016 № 2867-р. </w:t>
      </w:r>
      <w:proofErr w:type="gramEnd"/>
    </w:p>
    <w:p w:rsidR="004B5D23" w:rsidRDefault="004B5D23" w:rsidP="004B5D23">
      <w:pPr>
        <w:spacing w:after="0" w:line="240" w:lineRule="auto"/>
        <w:ind w:firstLine="539"/>
        <w:jc w:val="both"/>
      </w:pPr>
      <w:r w:rsidRPr="00AE4D4A">
        <w:rPr>
          <w:rFonts w:ascii="Times New Roman" w:eastAsia="Times New Roman" w:hAnsi="Times New Roman" w:cs="Times New Roman"/>
          <w:bCs/>
          <w:sz w:val="24"/>
          <w:szCs w:val="24"/>
        </w:rPr>
        <w:t>Бланки заявлений, анкеты, заключения по уче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тной форме № 001-ГС/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размещены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E4D4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официальном сайте Администрации Кемеровской области </w:t>
      </w:r>
      <w:r w:rsidRPr="00AE4D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www</w:t>
      </w:r>
      <w:r w:rsidRPr="00AE4D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AE4D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ako</w:t>
      </w:r>
      <w:proofErr w:type="spellEnd"/>
      <w:r w:rsidRPr="00AE4D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AE4D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A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D4A">
        <w:rPr>
          <w:rFonts w:ascii="Times New Roman" w:eastAsia="Times New Roman" w:hAnsi="Times New Roman" w:cs="Times New Roman"/>
          <w:sz w:val="24"/>
          <w:szCs w:val="24"/>
        </w:rPr>
        <w:t>в разделе «Государственная служба» / «Конкурсы».</w:t>
      </w:r>
    </w:p>
    <w:p w:rsidR="002C19B3" w:rsidRDefault="002C19B3"/>
    <w:sectPr w:rsidR="002C19B3" w:rsidSect="009E50F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D23"/>
    <w:rsid w:val="002C19B3"/>
    <w:rsid w:val="004B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898D72C4AE961B670344C546AB962BFA06CF23190F9BBADCC402C48BE472381F8EE5B2E62935d1e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98D72C4AE961B670344C546AB962BFA06CF23190F9BBADCC402C48BE472381F8EE5B2E62935d1eDE" TargetMode="External"/><Relationship Id="rId5" Type="http://schemas.openxmlformats.org/officeDocument/2006/relationships/hyperlink" Target="consultantplus://offline/ref=FA898D72C4AE961B670344C546AB962BFA06CF23190F9BBADCC402C48BE472381F8EE5B2E62935d1eDE" TargetMode="External"/><Relationship Id="rId4" Type="http://schemas.openxmlformats.org/officeDocument/2006/relationships/hyperlink" Target="consultantplus://offline/ref=35DFB999912C4A7588D371117DE1CFDD2A0A8CF159844011AE70312D836A9F682855D5862733BAY6Y0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2019-06-19T10:20:00Z</dcterms:created>
  <dcterms:modified xsi:type="dcterms:W3CDTF">2019-06-19T10:20:00Z</dcterms:modified>
</cp:coreProperties>
</file>